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1440"/>
      </w:tblGrid>
      <w:tr>
        <w:trPr>
          <w:trHeight w:val="0"/>
        </w:trPr>
        <w:tc>
          <w:tcPr>
            <w:tcW w:w="0" w:type="auto"/>
            <w:gridSpan w:val="7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none" w:color="000000" w:sz="0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Комитет по образованию муниципального образования Энский район</w:t>
            </w:r>
          </w:p>
        </w:tc>
      </w:tr>
      <w:tr>
        <w:trPr>
          <w:trHeight w:val="0"/>
        </w:trPr>
        <w:tc>
          <w:tcPr>
            <w:tcW w:w="0" w:type="auto"/>
            <w:gridSpan w:val="7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none" w:color="000000" w:sz="0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Муниципальное бюджетное общеобразовательное учреждение </w:t>
            </w:r>
          </w:p>
        </w:tc>
      </w:tr>
      <w:tr>
        <w:trPr>
          <w:trHeight w:val="0"/>
        </w:trPr>
        <w:tc>
          <w:tcPr>
            <w:tcW w:w="0" w:type="auto"/>
            <w:gridSpan w:val="7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none" w:color="000000" w:sz="0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«Средняя школа № 1» (МБОУ «Средняя школа № 1»)</w:t>
            </w:r>
          </w:p>
        </w:tc>
      </w:tr>
      <w:tr>
        <w:trPr>
          <w:trHeight w:val="0"/>
        </w:trPr>
        <w:tc>
          <w:tcPr>
            <w:tcW w:w="0" w:type="auto"/>
            <w:gridSpan w:val="7"/>
            <w:tcBorders>
              <w:top w:val="single" w:color="000000" w:sz="6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19"/>
                <w:szCs w:val="19"/>
                <w:vertAlign w:val="superscript"/>
              </w:rPr>
              <w:t>(наименование образовательной организации)</w:t>
            </w:r>
          </w:p>
        </w:tc>
      </w:tr>
    </w:tbl>
    <w:p>
      <w:pPr>
        <w:spacing w:line="240" w:lineRule="auto"/>
        <w:jc w:val="center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Индивидуальный образовательный маршрут педагога</w:t>
      </w:r>
      <w:r>
        <w:br/>
      </w:r>
      <w:r>
        <w:rPr>
          <w:rFonts w:hAnsi="Times New Roman" w:cs="Times New Roman"/>
          <w:b/>
          <w:bCs/>
          <w:color w:val="000000"/>
          <w:sz w:val="24"/>
          <w:szCs w:val="24"/>
        </w:rPr>
        <w:t>Антоновой Анны Петровны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1. Личный профиль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1.1. Общие сведения о педагоге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1440"/>
        <w:gridCol w:w="1440"/>
      </w:tblGrid>
      <w:tr>
        <w:trPr>
          <w:trHeight w:val="0"/>
        </w:trPr>
        <w:tc>
          <w:tcPr>
            <w:tcW w:w="41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Ф. И. О. педагога</w:t>
            </w:r>
          </w:p>
        </w:tc>
        <w:tc>
          <w:tcPr>
            <w:tcW w:w="478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Антонова Анна Петровна</w:t>
            </w:r>
          </w:p>
        </w:tc>
      </w:tr>
      <w:tr>
        <w:trPr>
          <w:trHeight w:val="0"/>
        </w:trPr>
        <w:tc>
          <w:tcPr>
            <w:tcW w:w="41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Образование (учебное заведение, год окончания, специальность по диплому)</w:t>
            </w:r>
          </w:p>
        </w:tc>
        <w:tc>
          <w:tcPr>
            <w:tcW w:w="478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Высшее, Энский государственный педагогический институт, 2002, математика</w:t>
            </w:r>
          </w:p>
        </w:tc>
      </w:tr>
      <w:tr>
        <w:trPr>
          <w:trHeight w:val="0"/>
        </w:trPr>
        <w:tc>
          <w:tcPr>
            <w:tcW w:w="41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Занимаемая должность</w:t>
            </w:r>
          </w:p>
        </w:tc>
        <w:tc>
          <w:tcPr>
            <w:tcW w:w="478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Учитель математики</w:t>
            </w:r>
          </w:p>
        </w:tc>
      </w:tr>
      <w:tr>
        <w:trPr>
          <w:trHeight w:val="0"/>
        </w:trPr>
        <w:tc>
          <w:tcPr>
            <w:tcW w:w="41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Педагогический стаж</w:t>
            </w:r>
          </w:p>
        </w:tc>
        <w:tc>
          <w:tcPr>
            <w:tcW w:w="478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20</w:t>
            </w:r>
          </w:p>
        </w:tc>
      </w:tr>
      <w:tr>
        <w:trPr>
          <w:trHeight w:val="0"/>
        </w:trPr>
        <w:tc>
          <w:tcPr>
            <w:tcW w:w="41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Квалификационная категория</w:t>
            </w:r>
          </w:p>
        </w:tc>
        <w:tc>
          <w:tcPr>
            <w:tcW w:w="478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Первая</w:t>
            </w:r>
          </w:p>
        </w:tc>
      </w:tr>
      <w:tr>
        <w:trPr>
          <w:trHeight w:val="0"/>
        </w:trPr>
        <w:tc>
          <w:tcPr>
            <w:tcW w:w="41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Дата прохождения аттестации</w:t>
            </w:r>
          </w:p>
        </w:tc>
        <w:tc>
          <w:tcPr>
            <w:tcW w:w="478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28.01.2024</w:t>
            </w:r>
          </w:p>
        </w:tc>
      </w:tr>
      <w:tr>
        <w:trPr>
          <w:trHeight w:val="0"/>
        </w:trPr>
        <w:tc>
          <w:tcPr>
            <w:tcW w:w="41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Профессиональные достижения</w:t>
            </w:r>
          </w:p>
        </w:tc>
        <w:tc>
          <w:tcPr>
            <w:tcW w:w="478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Эксперт ЕГЭ, награждена грамотой Департамента образования Энской области</w:t>
            </w:r>
          </w:p>
        </w:tc>
      </w:tr>
    </w:tbl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1.2. Сведения о повышении квалификации за последние три года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1440"/>
        <w:gridCol w:w="1440"/>
        <w:gridCol w:w="1440"/>
        <w:gridCol w:w="1440"/>
        <w:gridCol w:w="1440"/>
      </w:tblGrid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before="100" w:beforeAutospacing="1" w:after="100" w:afterAutospacing="1" w:line="240" w:lineRule="auto"/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270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240" w:lineRule="auto"/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Место прохождения (наименование организации, город)</w:t>
            </w:r>
          </w:p>
        </w:tc>
        <w:tc>
          <w:tcPr>
            <w:tcW w:w="279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240" w:lineRule="auto"/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Название программы</w:t>
            </w:r>
          </w:p>
        </w:tc>
        <w:tc>
          <w:tcPr>
            <w:tcW w:w="9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240" w:lineRule="auto"/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8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240" w:lineRule="auto"/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Результаты обучения (дата выдачи и (или) номер свидетельства, удостоверения, сертификата)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70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Энский институт дополнительного профессионального образования, г. Энск</w:t>
            </w:r>
          </w:p>
        </w:tc>
        <w:tc>
          <w:tcPr>
            <w:tcW w:w="279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Технология организации проектно-исследовательской деятельности</w:t>
            </w:r>
          </w:p>
        </w:tc>
        <w:tc>
          <w:tcPr>
            <w:tcW w:w="9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72 часа</w:t>
            </w:r>
          </w:p>
        </w:tc>
        <w:tc>
          <w:tcPr>
            <w:tcW w:w="18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Свидетельство от 15.10.2022 № 1865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70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Энский институт дополнительного профессионального образования, г. Энск</w:t>
            </w:r>
          </w:p>
        </w:tc>
        <w:tc>
          <w:tcPr>
            <w:tcW w:w="279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Цифровые инструменты для учителя математики</w:t>
            </w:r>
          </w:p>
        </w:tc>
        <w:tc>
          <w:tcPr>
            <w:tcW w:w="9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72 часа</w:t>
            </w:r>
          </w:p>
        </w:tc>
        <w:tc>
          <w:tcPr>
            <w:tcW w:w="18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Свидетельство от 27.01.2024 № 1324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&lt;...&gt;</w:t>
            </w:r>
          </w:p>
        </w:tc>
        <w:tc>
          <w:tcPr>
            <w:tcW w:w="270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&lt;...&gt;</w:t>
            </w:r>
          </w:p>
        </w:tc>
        <w:tc>
          <w:tcPr>
            <w:tcW w:w="279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&lt;...&gt;</w:t>
            </w:r>
          </w:p>
        </w:tc>
        <w:tc>
          <w:tcPr>
            <w:tcW w:w="9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&lt;...&gt;</w:t>
            </w:r>
          </w:p>
        </w:tc>
        <w:tc>
          <w:tcPr>
            <w:tcW w:w="18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&lt;...&gt;</w:t>
            </w:r>
          </w:p>
        </w:tc>
      </w:tr>
    </w:tbl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2. Сведения о прохождении независимой диагностики уровня сформированности профессиональных компетенций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2.1. Сведения о результатах диагностики</w:t>
      </w:r>
    </w:p>
    <w:tbl>
      <w:tblPr>
        <w:tblW w:w="8395" w:type="dxa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1440"/>
        <w:gridCol w:w="1440"/>
        <w:gridCol w:w="1440"/>
      </w:tblGrid>
      <w:tr>
        <w:trPr>
          <w:trHeight w:val="0"/>
        </w:trPr>
        <w:tc>
          <w:tcPr>
            <w:tcW w:w="15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before="100" w:beforeAutospacing="1" w:after="100" w:afterAutospacing="1" w:line="240" w:lineRule="auto"/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Дата</w:t>
            </w:r>
          </w:p>
        </w:tc>
        <w:tc>
          <w:tcPr>
            <w:tcW w:w="302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before="100" w:beforeAutospacing="1" w:after="100" w:afterAutospacing="1" w:line="240" w:lineRule="auto"/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Место проведения</w:t>
            </w:r>
          </w:p>
        </w:tc>
        <w:tc>
          <w:tcPr>
            <w:tcW w:w="360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before="100" w:beforeAutospacing="1" w:after="100" w:afterAutospacing="1" w:line="240" w:lineRule="auto"/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Результаты диагностик</w:t>
            </w:r>
          </w:p>
        </w:tc>
      </w:tr>
      <w:tr>
        <w:trPr>
          <w:trHeight w:val="0"/>
        </w:trPr>
        <w:tc>
          <w:tcPr>
            <w:tcW w:w="15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12.03.2025</w:t>
            </w:r>
          </w:p>
        </w:tc>
        <w:tc>
          <w:tcPr>
            <w:tcW w:w="302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Центр непрерывного повышения профессионального мастерства педагогических работников Энской области.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Оценка профессиональных компетенций</w:t>
            </w:r>
          </w:p>
        </w:tc>
        <w:tc>
          <w:tcPr>
            <w:tcW w:w="360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Предметная компетенция – 49%.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Методическая компетенция – 50%.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Психолого-педагогическая компетенция – 67%.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Коммуникативная компетенция – 76%</w:t>
            </w:r>
          </w:p>
        </w:tc>
      </w:tr>
    </w:tbl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2.2. Описание профессиональных дефицитов и определение задач профессионального развития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1440"/>
        <w:gridCol w:w="1440"/>
      </w:tblGrid>
      <w:tr>
        <w:trPr>
          <w:trHeight w:val="0"/>
        </w:trPr>
        <w:tc>
          <w:tcPr>
            <w:tcW w:w="36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before="100" w:beforeAutospacing="1" w:after="100" w:afterAutospacing="1" w:line="240" w:lineRule="auto"/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Выявленные дефициты</w:t>
            </w:r>
          </w:p>
        </w:tc>
        <w:tc>
          <w:tcPr>
            <w:tcW w:w="52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before="100" w:beforeAutospacing="1" w:after="100" w:afterAutospacing="1" w:line="240" w:lineRule="auto"/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Задачи профессионального развития</w:t>
            </w:r>
          </w:p>
        </w:tc>
      </w:tr>
      <w:tr>
        <w:trPr>
          <w:trHeight w:val="0"/>
        </w:trPr>
        <w:tc>
          <w:tcPr>
            <w:tcW w:w="36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1. Недостаточный уровень компетенций в области применения системно-деятельностного подхода.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2. Недостаточный уровень компетенций в области управления педагогически целесообразной деятельностью обучающихся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&lt;...&gt;</w:t>
            </w:r>
          </w:p>
        </w:tc>
        <w:tc>
          <w:tcPr>
            <w:tcW w:w="52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Спланировать и осуществить деятельность по целенаправленному развитию умений: </w:t>
            </w:r>
          </w:p>
          <w:p>
            <w:pPr>
              <w:numPr>
                <w:ilvl w:val="0"/>
                <w:numId w:val="1"/>
              </w:numPr>
              <w:spacing w:beforeAutospacing="1" w:afterAutospacing="1" w:line="240" w:lineRule="auto"/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применять технологии системно-деятельностного подхода в урочной и внеурочной деятельности; </w:t>
            </w:r>
          </w:p>
          <w:p>
            <w:pPr>
              <w:numPr>
                <w:ilvl w:val="0"/>
                <w:numId w:val="1"/>
              </w:numPr>
              <w:spacing w:beforeAutospacing="1" w:afterAutospacing="1" w:line="240" w:lineRule="auto"/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управлять педагогически целесообразной деятельностью обучающихся на основе уважения к личности каждого ребенка при ведущей роли педагога в ключевых вопросах образовательной деятельности;</w:t>
            </w:r>
          </w:p>
          <w:p>
            <w:pPr>
              <w:numPr>
                <w:ilvl w:val="0"/>
                <w:numId w:val="1"/>
              </w:numPr>
              <w:spacing w:beforeAutospacing="1" w:afterAutospacing="1" w:line="240" w:lineRule="auto"/>
              <w:ind w:left="780" w:right="18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&lt;...&gt;</w:t>
            </w:r>
          </w:p>
        </w:tc>
      </w:tr>
    </w:tbl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3. Планируемые результаты реализации ИОМ</w:t>
      </w:r>
    </w:p>
    <w:p>
      <w:pPr>
        <w:numPr>
          <w:ilvl w:val="0"/>
          <w:numId w:val="2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Повышение уровня предметных компетенций до 70 процентов.</w:t>
      </w:r>
    </w:p>
    <w:p>
      <w:pPr>
        <w:numPr>
          <w:ilvl w:val="0"/>
          <w:numId w:val="2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Повышение уровня методических компетенций до 65 </w:t>
      </w:r>
      <w:r>
        <w:rPr>
          <w:rFonts w:hAnsi="Times New Roman" w:cs="Times New Roman"/>
          <w:color w:val="000000"/>
          <w:sz w:val="24"/>
          <w:szCs w:val="24"/>
        </w:rPr>
        <w:t>процентов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>
      <w:pPr>
        <w:numPr>
          <w:ilvl w:val="0"/>
          <w:numId w:val="2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Освоение методов и приемов развития функциональной грамотности учащихся.</w:t>
      </w:r>
    </w:p>
    <w:p>
      <w:pPr>
        <w:numPr>
          <w:ilvl w:val="0"/>
          <w:numId w:val="2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Освоение технологий системно-деятельностного подхода с целью развития познавательной активности учащихся.</w:t>
      </w:r>
    </w:p>
    <w:p>
      <w:pPr>
        <w:numPr>
          <w:ilvl w:val="0"/>
          <w:numId w:val="2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Освоение педагогических технологий управления педагогически целесообразной деятельностью обучающихся.</w:t>
      </w:r>
    </w:p>
    <w:p>
      <w:pPr>
        <w:numPr>
          <w:ilvl w:val="0"/>
          <w:numId w:val="2"/>
        </w:numPr>
        <w:spacing w:beforeAutospacing="1" w:afterAutospacing="1" w:line="240" w:lineRule="auto"/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&lt;...&gt;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4. Планируемый срок реализации ИОМ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1440"/>
        <w:gridCol w:w="1440"/>
      </w:tblGrid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before="100" w:beforeAutospacing="1" w:after="100" w:afterAutospacing="1" w:line="240" w:lineRule="auto"/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Начало реализации ИОМ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before="100" w:beforeAutospacing="1" w:after="100" w:afterAutospacing="1" w:line="240" w:lineRule="auto"/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Окончание реализации ИОМ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Сентябрь 2025 года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Май 2026 года</w:t>
            </w:r>
          </w:p>
        </w:tc>
      </w:tr>
    </w:tbl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5. Дорожная карта профессионального развития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1440"/>
        <w:gridCol w:w="1440"/>
        <w:gridCol w:w="1440"/>
        <w:gridCol w:w="1440"/>
      </w:tblGrid>
      <w:tr>
        <w:trPr>
          <w:trHeight w:val="0"/>
        </w:trPr>
        <w:tc>
          <w:tcPr>
            <w:tcW w:w="18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before="100" w:beforeAutospacing="1" w:after="100" w:afterAutospacing="1" w:line="240" w:lineRule="auto"/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Направление</w:t>
            </w:r>
          </w:p>
        </w:tc>
        <w:tc>
          <w:tcPr>
            <w:tcW w:w="31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240" w:lineRule="auto"/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Мероприятия, направленные на устранение выявленных дефицитов</w:t>
            </w:r>
          </w:p>
        </w:tc>
        <w:tc>
          <w:tcPr>
            <w:tcW w:w="135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before="100" w:beforeAutospacing="1" w:after="100" w:afterAutospacing="1" w:line="240" w:lineRule="auto"/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Сроки</w:t>
            </w:r>
          </w:p>
        </w:tc>
        <w:tc>
          <w:tcPr>
            <w:tcW w:w="2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240" w:lineRule="auto"/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Отметка о выполнении</w:t>
            </w:r>
          </w:p>
        </w:tc>
      </w:tr>
      <w:tr>
        <w:trPr>
          <w:trHeight w:val="0"/>
        </w:trPr>
        <w:tc>
          <w:tcPr>
            <w:tcW w:w="1895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Профессиональное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математика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)</w:t>
            </w:r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1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Изучение ФГОС и ФОП ООО</w:t>
            </w:r>
          </w:p>
        </w:tc>
        <w:tc>
          <w:tcPr>
            <w:tcW w:w="135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Август 2025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года</w:t>
            </w:r>
          </w:p>
        </w:tc>
        <w:tc>
          <w:tcPr>
            <w:tcW w:w="2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Методический семинар «ФГОС ООО – 2021: что учесть в работе учителю».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Сертификат участника</w:t>
            </w:r>
          </w:p>
        </w:tc>
      </w:tr>
      <w:tr>
        <w:trPr>
          <w:trHeight w:val="0"/>
        </w:trPr>
        <w:tc>
          <w:tcPr>
            <w:tcW w:w="1895" w:type="dxa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31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Разработка рабочей программы по математике в соответствии с требованиями ФГОС и ФОП</w:t>
            </w:r>
          </w:p>
        </w:tc>
        <w:tc>
          <w:tcPr>
            <w:tcW w:w="135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Август 2025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года</w:t>
            </w:r>
          </w:p>
        </w:tc>
        <w:tc>
          <w:tcPr>
            <w:tcW w:w="2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Рабочая программа по математике для 5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–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9-х классов. Утверждена на заседании МО учителей математики 25.06.2025</w:t>
            </w:r>
          </w:p>
        </w:tc>
      </w:tr>
      <w:tr>
        <w:trPr>
          <w:trHeight w:val="0"/>
        </w:trPr>
        <w:tc>
          <w:tcPr>
            <w:tcW w:w="1895" w:type="dxa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31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Прохождение курсов повышения квалификации по теме «Особенности подготовки к оценочным процедурам по математике», 36 часов</w:t>
            </w:r>
          </w:p>
        </w:tc>
        <w:tc>
          <w:tcPr>
            <w:tcW w:w="135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Сентябрь 2025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года</w:t>
            </w:r>
          </w:p>
        </w:tc>
        <w:tc>
          <w:tcPr>
            <w:tcW w:w="2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Свидетельство от 29.09.2025 № 1657</w:t>
            </w:r>
          </w:p>
        </w:tc>
      </w:tr>
      <w:tr>
        <w:trPr>
          <w:trHeight w:val="0"/>
        </w:trPr>
        <w:tc>
          <w:tcPr>
            <w:tcW w:w="1895" w:type="dxa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31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Внедрение метода проектов на уроках с целью развития познавательной активности учащихся</w:t>
            </w:r>
          </w:p>
        </w:tc>
        <w:tc>
          <w:tcPr>
            <w:tcW w:w="135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Сентябрь–декабрь 2025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года</w:t>
            </w:r>
          </w:p>
        </w:tc>
        <w:tc>
          <w:tcPr>
            <w:tcW w:w="2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Открытый урок 15.10.2025</w:t>
            </w:r>
          </w:p>
        </w:tc>
      </w:tr>
      <w:tr>
        <w:trPr>
          <w:trHeight w:val="0"/>
        </w:trPr>
        <w:tc>
          <w:tcPr>
            <w:tcW w:w="1895" w:type="dxa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31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&lt;...&gt;</w:t>
            </w:r>
          </w:p>
        </w:tc>
        <w:tc>
          <w:tcPr>
            <w:tcW w:w="135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 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&lt;...&gt;</w:t>
            </w:r>
          </w:p>
        </w:tc>
        <w:tc>
          <w:tcPr>
            <w:tcW w:w="2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 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&lt;...&gt;</w:t>
            </w:r>
          </w:p>
        </w:tc>
      </w:tr>
      <w:tr>
        <w:trPr>
          <w:trHeight w:val="0"/>
        </w:trPr>
        <w:tc>
          <w:tcPr>
            <w:tcW w:w="1895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Психолого-педагогическое</w:t>
            </w:r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1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Изучение литературы:</w:t>
            </w:r>
          </w:p>
          <w:p>
            <w:pPr>
              <w:numPr>
                <w:ilvl w:val="0"/>
                <w:numId w:val="3"/>
              </w:numPr>
              <w:spacing w:beforeAutospacing="1" w:afterAutospacing="1" w:line="240" w:lineRule="auto"/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Маргарита Пермякова. Психологические аспекты трудностей учения в школе. М.: ФЛИНТА, 2017;</w:t>
            </w:r>
          </w:p>
          <w:p>
            <w:pPr>
              <w:numPr>
                <w:ilvl w:val="0"/>
                <w:numId w:val="3"/>
              </w:numPr>
              <w:spacing w:beforeAutospacing="1" w:afterAutospacing="1" w:line="240" w:lineRule="auto"/>
              <w:ind w:left="780" w:right="18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Галицких Е.О. Воспитательные ресурсы современного урока. Вестник Вятского государственного университета. – 2018. – № 1</w:t>
            </w:r>
          </w:p>
        </w:tc>
        <w:tc>
          <w:tcPr>
            <w:tcW w:w="135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Март–май 2025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года</w:t>
            </w:r>
          </w:p>
        </w:tc>
        <w:tc>
          <w:tcPr>
            <w:tcW w:w="2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Сообщение на заседании МО учителей математики и информатики 18.05.2025</w:t>
            </w:r>
          </w:p>
        </w:tc>
      </w:tr>
      <w:tr>
        <w:trPr>
          <w:trHeight w:val="0"/>
        </w:trPr>
        <w:tc>
          <w:tcPr>
            <w:tcW w:w="1895" w:type="dxa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31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Участие в семинаре 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«Психологические аспекты педагогического взаимодействия в учебно-образовательном процессе»</w:t>
            </w:r>
          </w:p>
        </w:tc>
        <w:tc>
          <w:tcPr>
            <w:tcW w:w="135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Апрель–декабрь 2026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года</w:t>
            </w:r>
          </w:p>
        </w:tc>
        <w:tc>
          <w:tcPr>
            <w:tcW w:w="2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Сертификат участника</w:t>
            </w:r>
          </w:p>
        </w:tc>
      </w:tr>
      <w:tr>
        <w:trPr>
          <w:trHeight w:val="0"/>
        </w:trPr>
        <w:tc>
          <w:tcPr>
            <w:tcW w:w="1895" w:type="dxa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31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&lt;...&gt;</w:t>
            </w:r>
          </w:p>
        </w:tc>
        <w:tc>
          <w:tcPr>
            <w:tcW w:w="135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&lt;...&gt;</w:t>
            </w:r>
          </w:p>
        </w:tc>
        <w:tc>
          <w:tcPr>
            <w:tcW w:w="2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&lt;...&gt;</w:t>
            </w:r>
          </w:p>
        </w:tc>
      </w:tr>
      <w:tr>
        <w:trPr>
          <w:trHeight w:val="0"/>
        </w:trPr>
        <w:tc>
          <w:tcPr>
            <w:tcW w:w="1895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Методическое</w:t>
            </w:r>
          </w:p>
        </w:tc>
        <w:tc>
          <w:tcPr>
            <w:tcW w:w="31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Изучить сущность и сферы применения системно-деятельностного подхода</w:t>
            </w:r>
          </w:p>
        </w:tc>
        <w:tc>
          <w:tcPr>
            <w:tcW w:w="135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Сентябрь 2025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года</w:t>
            </w:r>
          </w:p>
        </w:tc>
        <w:tc>
          <w:tcPr>
            <w:tcW w:w="2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Кейсы на тему применения системно-деятельностного подхода на уроках математики в 5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–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7-х классах.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Методическая разработка представлена на рассмотрение МО учителей математики 26.08.2025</w:t>
            </w:r>
          </w:p>
        </w:tc>
      </w:tr>
      <w:tr>
        <w:trPr>
          <w:trHeight w:val="0"/>
        </w:trPr>
        <w:tc>
          <w:tcPr>
            <w:tcW w:w="1895" w:type="dxa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31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Участие в экспертной комиссии по проверке работ муниципального этапа ВсОШ по математике</w:t>
            </w:r>
          </w:p>
        </w:tc>
        <w:tc>
          <w:tcPr>
            <w:tcW w:w="135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Октябрь 2025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года</w:t>
            </w:r>
          </w:p>
        </w:tc>
        <w:tc>
          <w:tcPr>
            <w:tcW w:w="2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Работа в качестве эксперта в 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комиссии по проверке работ муниципального этапа ВсОШ по математике </w:t>
            </w:r>
          </w:p>
        </w:tc>
      </w:tr>
      <w:tr>
        <w:trPr>
          <w:trHeight w:val="0"/>
        </w:trPr>
        <w:tc>
          <w:tcPr>
            <w:tcW w:w="1895" w:type="dxa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31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Участие в городском семинаре «Методика проведения уроков по обобщению и систематизации знаний при подготовке к ОГЭ» </w:t>
            </w:r>
          </w:p>
        </w:tc>
        <w:tc>
          <w:tcPr>
            <w:tcW w:w="135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Апрель 2026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года</w:t>
            </w:r>
          </w:p>
        </w:tc>
        <w:tc>
          <w:tcPr>
            <w:tcW w:w="2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Сертификат участника</w:t>
            </w:r>
          </w:p>
        </w:tc>
      </w:tr>
      <w:tr>
        <w:trPr>
          <w:trHeight w:val="0"/>
        </w:trPr>
        <w:tc>
          <w:tcPr>
            <w:tcW w:w="1895" w:type="dxa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31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&lt;...&gt;</w:t>
            </w:r>
          </w:p>
        </w:tc>
        <w:tc>
          <w:tcPr>
            <w:tcW w:w="135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&lt;...&gt;</w:t>
            </w:r>
          </w:p>
        </w:tc>
        <w:tc>
          <w:tcPr>
            <w:tcW w:w="2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&lt;...&gt;</w:t>
            </w:r>
          </w:p>
        </w:tc>
      </w:tr>
      <w:tr>
        <w:trPr>
          <w:trHeight w:val="0"/>
        </w:trPr>
        <w:tc>
          <w:tcPr>
            <w:tcW w:w="1895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ИКТ-компетентность</w:t>
            </w:r>
          </w:p>
        </w:tc>
        <w:tc>
          <w:tcPr>
            <w:tcW w:w="31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Разработка электронных КИМ по функциональной (математической) грамотности для 8-го класса</w:t>
            </w:r>
          </w:p>
        </w:tc>
        <w:tc>
          <w:tcPr>
            <w:tcW w:w="135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Декабрь 2025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года</w:t>
            </w:r>
          </w:p>
        </w:tc>
        <w:tc>
          <w:tcPr>
            <w:tcW w:w="2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Представлены на заседании МО учителей математики и информатики 26.11.2025</w:t>
            </w:r>
          </w:p>
        </w:tc>
      </w:tr>
      <w:tr>
        <w:trPr>
          <w:trHeight w:val="0"/>
        </w:trPr>
        <w:tc>
          <w:tcPr>
            <w:tcW w:w="1895" w:type="dxa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31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Выступление на городском семинаре «Использование ЭОР на уроках математики»</w:t>
            </w:r>
          </w:p>
        </w:tc>
        <w:tc>
          <w:tcPr>
            <w:tcW w:w="135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Ноябрь 2025 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года</w:t>
            </w:r>
          </w:p>
        </w:tc>
        <w:tc>
          <w:tcPr>
            <w:tcW w:w="2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Сертификат участника</w:t>
            </w:r>
          </w:p>
        </w:tc>
      </w:tr>
      <w:tr>
        <w:trPr>
          <w:trHeight w:val="0"/>
        </w:trPr>
        <w:tc>
          <w:tcPr>
            <w:tcW w:w="1895" w:type="dxa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31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«Видеотехнологии для образовательных целей. Инструмент Movavi Academic», 24 часа, Академия Минпросвещения России</w:t>
            </w:r>
          </w:p>
        </w:tc>
        <w:tc>
          <w:tcPr>
            <w:tcW w:w="135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Март–май 2025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года</w:t>
            </w:r>
          </w:p>
        </w:tc>
        <w:tc>
          <w:tcPr>
            <w:tcW w:w="2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Свидетельство от 26.05.2025</w:t>
            </w:r>
          </w:p>
        </w:tc>
      </w:tr>
      <w:tr>
        <w:trPr>
          <w:trHeight w:val="0"/>
        </w:trPr>
        <w:tc>
          <w:tcPr>
            <w:tcW w:w="1895" w:type="dxa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31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&lt;...&gt;</w:t>
            </w:r>
          </w:p>
        </w:tc>
        <w:tc>
          <w:tcPr>
            <w:tcW w:w="135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&lt;...&gt;</w:t>
            </w:r>
          </w:p>
        </w:tc>
        <w:tc>
          <w:tcPr>
            <w:tcW w:w="2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&lt;...&gt;</w:t>
            </w:r>
          </w:p>
        </w:tc>
      </w:tr>
    </w:tbl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6. Курсы повышения квалификации в Центре непрерывного повышения профессионального мастерства педагогических работников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1440"/>
        <w:gridCol w:w="1440"/>
        <w:gridCol w:w="1440"/>
      </w:tblGrid>
      <w:tr>
        <w:trPr>
          <w:trHeight w:val="0"/>
        </w:trPr>
        <w:tc>
          <w:tcPr>
            <w:tcW w:w="72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before="100" w:beforeAutospacing="1" w:after="100" w:afterAutospacing="1" w:line="240" w:lineRule="auto"/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261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Дата прохождения КПК</w:t>
            </w:r>
          </w:p>
        </w:tc>
        <w:tc>
          <w:tcPr>
            <w:tcW w:w="541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Тема курсов повышения квалификации</w:t>
            </w:r>
          </w:p>
        </w:tc>
      </w:tr>
      <w:tr>
        <w:trPr>
          <w:trHeight w:val="0"/>
        </w:trPr>
        <w:tc>
          <w:tcPr>
            <w:tcW w:w="72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61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Апрель 2024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года</w:t>
            </w:r>
          </w:p>
        </w:tc>
        <w:tc>
          <w:tcPr>
            <w:tcW w:w="541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Управление проектной деятельностью учащихся в ОО</w:t>
            </w:r>
          </w:p>
        </w:tc>
      </w:tr>
      <w:tr>
        <w:trPr>
          <w:trHeight w:val="0"/>
        </w:trPr>
        <w:tc>
          <w:tcPr>
            <w:tcW w:w="72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61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Июнь 2024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года</w:t>
            </w:r>
          </w:p>
        </w:tc>
        <w:tc>
          <w:tcPr>
            <w:tcW w:w="541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Формирование функциональной грамотности учащихся на уроках математики</w:t>
            </w:r>
          </w:p>
        </w:tc>
      </w:tr>
      <w:tr>
        <w:trPr>
          <w:trHeight w:val="0"/>
        </w:trPr>
        <w:tc>
          <w:tcPr>
            <w:tcW w:w="72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&lt;...&gt;</w:t>
            </w:r>
          </w:p>
        </w:tc>
        <w:tc>
          <w:tcPr>
            <w:tcW w:w="261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&lt;...&gt;</w:t>
            </w:r>
          </w:p>
        </w:tc>
        <w:tc>
          <w:tcPr>
            <w:tcW w:w="541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&lt;...&gt;</w:t>
            </w:r>
          </w:p>
        </w:tc>
      </w:tr>
    </w:tbl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7. Рефлексия по итогам прохождения ИОМ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1440"/>
        <w:gridCol w:w="1440"/>
      </w:tblGrid>
      <w:tr>
        <w:trPr>
          <w:trHeight w:val="0"/>
        </w:trPr>
        <w:tc>
          <w:tcPr>
            <w:tcW w:w="144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before="100" w:beforeAutospacing="1" w:after="100" w:afterAutospacing="1" w:line="240" w:lineRule="auto"/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Дата</w:t>
            </w:r>
          </w:p>
        </w:tc>
        <w:tc>
          <w:tcPr>
            <w:tcW w:w="74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before="100" w:beforeAutospacing="1" w:after="100" w:afterAutospacing="1" w:line="240" w:lineRule="auto"/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Самооценка реализации ИОМ</w:t>
            </w:r>
          </w:p>
        </w:tc>
      </w:tr>
      <w:tr>
        <w:trPr>
          <w:trHeight w:val="0"/>
        </w:trPr>
        <w:tc>
          <w:tcPr>
            <w:tcW w:w="144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15.09.2025</w:t>
            </w:r>
          </w:p>
        </w:tc>
        <w:tc>
          <w:tcPr>
            <w:tcW w:w="74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В ходе реализации ИОМ удалось освоить и внедрить на уроках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метод проекта с целью развития познавательной активности учащихся. В результате качество уроков выросло на 15%, качество образования в классах выросло на 20%. Я готова применять проектную деятельность в своей дальнейшей работе.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&lt;...&gt;</w:t>
            </w:r>
          </w:p>
        </w:tc>
      </w:tr>
      <w:tr>
        <w:trPr>
          <w:trHeight w:val="0"/>
        </w:trPr>
        <w:tc>
          <w:tcPr>
            <w:tcW w:w="144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15.03.2026</w:t>
            </w:r>
          </w:p>
        </w:tc>
        <w:tc>
          <w:tcPr>
            <w:tcW w:w="74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Обучение по ИОМ способствовало развитию предметных и методических профессиональных компетенций. 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&lt;...&gt;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Цели ИОМ достигнуты. Поданы документы для аттестации на высшую квалификационную категорию.</w:t>
            </w:r>
          </w:p>
        </w:tc>
      </w:tr>
    </w:tbl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1440"/>
        <w:gridCol w:w="1440"/>
        <w:gridCol w:w="1440"/>
      </w:tblGrid>
      <w:tr>
        <w:trPr>
          <w:trHeight w:val="0"/>
        </w:trPr>
        <w:tc>
          <w:tcPr>
            <w:tcW w:w="3610" w:type="dxa"/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Педагог</w:t>
            </w:r>
          </w:p>
        </w:tc>
        <w:tc>
          <w:tcPr>
            <w:tcW w:w="2617" w:type="dxa"/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Антонова</w:t>
            </w:r>
          </w:p>
        </w:tc>
        <w:tc>
          <w:tcPr>
            <w:tcW w:w="2708" w:type="dxa"/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А.П. Антонова</w:t>
            </w:r>
          </w:p>
        </w:tc>
      </w:tr>
      <w:tr>
        <w:trPr>
          <w:trHeight w:val="0"/>
        </w:trPr>
        <w:tc>
          <w:tcPr>
            <w:tcW w:w="3610" w:type="dxa"/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Директор школы</w:t>
            </w:r>
          </w:p>
        </w:tc>
        <w:tc>
          <w:tcPr>
            <w:tcW w:w="2617" w:type="dxa"/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Андреев</w:t>
            </w:r>
          </w:p>
        </w:tc>
        <w:tc>
          <w:tcPr>
            <w:tcW w:w="2708" w:type="dxa"/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А.А. Андреев</w:t>
            </w:r>
          </w:p>
        </w:tc>
      </w:tr>
      <w:tr>
        <w:trPr>
          <w:trHeight w:val="0"/>
        </w:trPr>
        <w:tc>
          <w:tcPr>
            <w:tcW w:w="3610" w:type="dxa"/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Тьютор</w:t>
            </w:r>
          </w:p>
        </w:tc>
        <w:tc>
          <w:tcPr>
            <w:tcW w:w="2617" w:type="dxa"/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Самойлова</w:t>
            </w:r>
          </w:p>
        </w:tc>
        <w:tc>
          <w:tcPr>
            <w:tcW w:w="2708" w:type="dxa"/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В.П. Самойлова</w:t>
            </w:r>
          </w:p>
        </w:tc>
      </w:tr>
      <w:tr>
        <w:trPr>
          <w:trHeight w:val="0"/>
        </w:trPr>
        <w:tc>
          <w:tcPr>
            <w:tcW w:w="3610" w:type="dxa"/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Дата разработки ИОМ</w:t>
            </w:r>
          </w:p>
        </w:tc>
        <w:tc>
          <w:tcPr>
            <w:tcW w:w="2617" w:type="dxa"/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/>
        </w:tc>
        <w:tc>
          <w:tcPr>
            <w:tcW w:w="2708" w:type="dxa"/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01.09.2025</w:t>
            </w:r>
          </w:p>
        </w:tc>
      </w:tr>
    </w:tbl>
    <w:sectPr>
      <w:pgSz w:w="11907" w:h="16839"/>
      <w:pgMar w:top="1440" w:right="1440" w:bottom="1440" w:left="1440" w:header="720" w:footer="720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="http://schemas.openxmlformats.org/wordprocessingml/2006/main">
  <w:abstractNum xmlns:w="http://schemas.openxmlformats.org/wordprocessingml/2006/main" w:abstractNumId="0"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xmlns:w="http://schemas.openxmlformats.org/wordprocessingml/2006/main" w:abstractNumId="1"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xmlns:w="http://schemas.openxmlformats.org/wordprocessingml/2006/main" w:abstractNumId="2"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5CE"/>
    <w:rsid w:val="002D33B1"/>
    <w:rsid w:val="002D3591"/>
    <w:rsid w:val="003514A0"/>
    <w:rsid w:val="004F7E17"/>
    <w:rsid w:val="005A05CE"/>
    <w:rsid w:val="00653AF6"/>
    <w:rsid w:val="00B73A5A"/>
    <w:rsid w:val="00E438A1"/>
    <w:rsid w:val="00F01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 w:line="240" w:lineRule="auto"/>
        <!--<w:spacing w:before="100" w:beforeAutospacing="1" w:after="100" w:afterAutospacing="1" w:line="240" w:lineRule="auto"/>-->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microsoft.com/office/2007/relationships/stylesWithEffects" Target="stylesWithEffects.xml" Id="rId2" /><Relationship Type="http://schemas.openxmlformats.org/officeDocument/2006/relationships/styles" Target="styles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Relationship Type="http://schemas.openxmlformats.org/officeDocument/2006/relationships/numbering" Target="/word/numbering.xml" Id="R3b7638a39e5a4ce8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Группы Актион</dc:description>
  <dcterms:created xsi:type="dcterms:W3CDTF">2011-11-02T04:15:00Z</dcterms:created>
  <dcterms:modified xsi:type="dcterms:W3CDTF">2012-05-05T09:54:00Z</dcterms:modified>
</cp:coreProperties>
</file>